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2pt;width:431.15pt;" fillcolor="#FF0000" filled="t" stroked="t" coordsize="21600,21600">
            <v:path/>
            <v:fill on="t" focussize="0,0"/>
            <v:stroke color="#FF0000"/>
            <v:imagedata o:title=""/>
            <o:lock v:ext="edit"/>
            <v:textpath on="t" fitshape="t" fitpath="t" trim="t" xscale="f" string="枣庄市市中区人民政府文件" style="font-family:方正小标宋简体;font-size:36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r>
        <w:rPr>
          <w:rFonts w:hint="eastAsia"/>
          <w:b w:val="0"/>
          <w:bCs w:val="0"/>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377825</wp:posOffset>
                </wp:positionV>
                <wp:extent cx="560070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1841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9.75pt;height:1.45pt;width:441pt;z-index:251662336;mso-width-relative:page;mso-height-relative:page;" filled="f" stroked="t" coordsize="21600,21600" o:gfxdata="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7HC81AAAAAYB&#10;AAAPAAAAAAAAAAEAIAAAACIAAABkcnMvZG93bnJldi54bWxQSwECFAAUAAAACACHTuJAqrKmkeYB&#10;AAClAwAADgAAAAAAAAABACAAAAAjAQAAZHJzL2Uyb0RvYy54bWxQSwUGAAAAAAYABgBZAQAAewUA&#10;AAAA&#10;">
                <v:fill on="f" focussize="0,0"/>
                <v:stroke weight="2pt" color="#FF0000" joinstyle="round"/>
                <v:imagedata o:title=""/>
                <o:lock v:ext="edit" aspectratio="f"/>
              </v:line>
            </w:pict>
          </mc:Fallback>
        </mc:AlternateContent>
      </w:r>
      <w:r>
        <w:rPr>
          <w:rFonts w:hint="eastAsia" w:ascii="楷体_GB2312" w:hAnsi="宋体" w:eastAsia="楷体_GB2312"/>
          <w:b w:val="0"/>
          <w:bCs w:val="0"/>
          <w:sz w:val="32"/>
          <w:szCs w:val="32"/>
        </w:rPr>
        <w:t>市中政发〔</w:t>
      </w:r>
      <w:r>
        <w:rPr>
          <w:rFonts w:hint="eastAsia" w:ascii="楷体_GB2312" w:hAnsi="宋体" w:eastAsia="楷体_GB2312"/>
          <w:b w:val="0"/>
          <w:bCs w:val="0"/>
          <w:sz w:val="32"/>
          <w:szCs w:val="32"/>
          <w:lang w:val="en-US" w:eastAsia="zh-CN"/>
        </w:rPr>
        <w:t>2022</w:t>
      </w:r>
      <w:r>
        <w:rPr>
          <w:rFonts w:hint="eastAsia" w:ascii="楷体_GB2312" w:hAnsi="宋体" w:eastAsia="楷体_GB2312"/>
          <w:b w:val="0"/>
          <w:bCs w:val="0"/>
          <w:sz w:val="32"/>
          <w:szCs w:val="32"/>
        </w:rPr>
        <w:t>〕</w:t>
      </w:r>
      <w:r>
        <w:rPr>
          <w:rFonts w:hint="eastAsia" w:ascii="楷体_GB2312" w:hAnsi="宋体" w:eastAsia="楷体_GB2312"/>
          <w:b w:val="0"/>
          <w:bCs w:val="0"/>
          <w:sz w:val="32"/>
          <w:szCs w:val="32"/>
          <w:lang w:val="en-US" w:eastAsia="zh-CN"/>
        </w:rPr>
        <w:t>7</w:t>
      </w:r>
      <w:r>
        <w:rPr>
          <w:rFonts w:hint="eastAsia" w:ascii="楷体_GB2312" w:hAnsi="宋体" w:eastAsia="楷体_GB2312"/>
          <w:b w:val="0"/>
          <w:bCs w:val="0"/>
          <w:sz w:val="32"/>
          <w:szCs w:val="32"/>
        </w:rPr>
        <w:t>号</w:t>
      </w:r>
    </w:p>
    <w:p>
      <w:pPr>
        <w:jc w:val="center"/>
        <w:rPr>
          <w:rFonts w:hint="eastAsia"/>
          <w:color w:val="FF0000"/>
          <w:sz w:val="44"/>
          <w:szCs w:val="44"/>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center"/>
        <w:textAlignment w:val="baseline"/>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lang w:val="en-US" w:eastAsia="zh-CN"/>
        </w:rPr>
        <w:t>市中区</w:t>
      </w:r>
      <w:r>
        <w:rPr>
          <w:rFonts w:hint="default" w:ascii="Times New Roman" w:hAnsi="Times New Roman" w:eastAsia="方正小标宋简体" w:cs="Times New Roman"/>
          <w:b w:val="0"/>
          <w:bCs w:val="0"/>
          <w:spacing w:val="0"/>
          <w:sz w:val="44"/>
          <w:szCs w:val="44"/>
        </w:rPr>
        <w:t>人民政府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center"/>
        <w:textAlignment w:val="baseline"/>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关于全面实行行政许可事项清单管理的通知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right="0"/>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各镇人民政府，各街道办事处，区直有关部门单位：</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为进一步做好全区行政许可事项清单管理工作，根据《山东省人民政府关于全面实行行政许可事项清单管理的通知》（鲁政发〔2022〕10号）、《枣庄市人民政府关于全面实行行政许可事项清单管理的通知》（枣政发〔2022〕5号）要求，结合我区实际，经区政府研究同意，现公布《市中区行政许可事项清单（2022年版）》，并将有关事项通知如下。</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深入学习贯彻习近平新时代中国特色社会主义思想，全面贯彻党的十九大和十九届历次全会精神，认真落实国务院和省委</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省政府、市委</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市政府关于深化“放管服”改革优化营商环境和全面实行行政许可事项清单管理的决策部署，按照以上率下、协同联动的要求，依法依规编制行政许可事项清单，加强对清单内事项全链条全领域管理，不断提升行政审批效率和监管效能，促进行政权力规范运行，减少制度性交易成本，为企业和群众打造更加公平高效的营商环境，更大激发市场活力和社会创造力，为推动全区经济社会高质量发展提供有力保障。</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黑体" w:cs="Times New Roman"/>
          <w:b w:val="0"/>
          <w:bCs w:val="0"/>
          <w:spacing w:val="0"/>
          <w:sz w:val="32"/>
          <w:szCs w:val="32"/>
          <w:lang w:val="en-US" w:eastAsia="zh-CN"/>
        </w:rPr>
      </w:pPr>
      <w:r>
        <w:rPr>
          <w:rFonts w:hint="default" w:ascii="Times New Roman" w:hAnsi="Times New Roman" w:eastAsia="黑体" w:cs="Times New Roman"/>
          <w:b w:val="0"/>
          <w:bCs w:val="0"/>
          <w:spacing w:val="0"/>
          <w:sz w:val="32"/>
          <w:szCs w:val="32"/>
          <w:lang w:val="en-US" w:eastAsia="zh-CN"/>
        </w:rPr>
        <w:t xml:space="preserve">二、重点任务 </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一是编制公布区级行政许可事项清单。</w:t>
      </w:r>
      <w:r>
        <w:rPr>
          <w:rFonts w:hint="default" w:ascii="Times New Roman" w:hAnsi="Times New Roman" w:eastAsia="仿宋_GB2312" w:cs="Times New Roman"/>
          <w:b w:val="0"/>
          <w:bCs w:val="0"/>
          <w:spacing w:val="0"/>
          <w:sz w:val="32"/>
          <w:szCs w:val="32"/>
          <w:lang w:val="en-US" w:eastAsia="zh-CN"/>
        </w:rPr>
        <w:t>将依法设定的行政许可事项全部纳入清单管理，清单之外一律不得违法实施行政许可。区政府办公室作为全区推进行政审批制度改革工作的牵头机构，负责督促指导各部门清单编制公布工作。2022年8月底前，根据《枣庄市行政许可事项清单（2022年版）》，组织编制市中区行政许可事项清单，报区政府审定后向社会公布，并抄送市政府办公室。实行相对集中行政许可权改革的事项，按实际情况明确基本要素。</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二是制定完善行政许可实施规范。</w:t>
      </w:r>
      <w:r>
        <w:rPr>
          <w:rFonts w:hint="default" w:ascii="Times New Roman" w:hAnsi="Times New Roman" w:eastAsia="仿宋_GB2312" w:cs="Times New Roman"/>
          <w:b w:val="0"/>
          <w:bCs w:val="0"/>
          <w:spacing w:val="0"/>
          <w:sz w:val="32"/>
          <w:szCs w:val="32"/>
          <w:lang w:val="en-US" w:eastAsia="zh-CN"/>
        </w:rPr>
        <w:t>2022年10月底前，区政府办公室组织区级主管部门根据省、市两级主管部门制定的实施规范，逐项明确子项、办理项等实施要素，细化完善行政许可实施规范并向社会公布。上级主管部门已经明确的实施要素，区级主管部门要严格保持一致，或者作出有利于行政相对人的优化调整。对实行相对集中行政许可权改革的事项，要按照改革方案明确实施机关、监管主体等实施要素，并与其他区（市）保持相对统一。</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三是更新优化行政许可办事指南。</w:t>
      </w:r>
      <w:r>
        <w:rPr>
          <w:rFonts w:hint="default" w:ascii="Times New Roman" w:hAnsi="Times New Roman" w:eastAsia="仿宋_GB2312" w:cs="Times New Roman"/>
          <w:b w:val="0"/>
          <w:bCs w:val="0"/>
          <w:spacing w:val="0"/>
          <w:sz w:val="32"/>
          <w:szCs w:val="32"/>
          <w:lang w:val="en-US" w:eastAsia="zh-CN"/>
        </w:rPr>
        <w:t>2022年11月底前，行政许可实施机关负责会同主管部门依照行政许可事项清单和实施规范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材料、中介服务、审批环节、收费、数量限制等，不得超时限办理行政许可，但可以作出有利于行政相对人的合理优化调整。</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黑体" w:cs="Times New Roman"/>
          <w:b w:val="0"/>
          <w:bCs w:val="0"/>
          <w:spacing w:val="0"/>
          <w:sz w:val="32"/>
          <w:szCs w:val="32"/>
          <w:lang w:val="en-US" w:eastAsia="zh-CN"/>
        </w:rPr>
      </w:pPr>
      <w:r>
        <w:rPr>
          <w:rFonts w:hint="default" w:ascii="Times New Roman" w:hAnsi="Times New Roman" w:eastAsia="黑体" w:cs="Times New Roman"/>
          <w:b w:val="0"/>
          <w:bCs w:val="0"/>
          <w:spacing w:val="0"/>
          <w:sz w:val="32"/>
          <w:szCs w:val="32"/>
          <w:lang w:val="en-US" w:eastAsia="zh-CN"/>
        </w:rPr>
        <w:t>三、强化运用</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一是建立清单动态管理机制。</w:t>
      </w:r>
      <w:r>
        <w:rPr>
          <w:rFonts w:hint="default" w:ascii="Times New Roman" w:hAnsi="Times New Roman" w:eastAsia="仿宋_GB2312" w:cs="Times New Roman"/>
          <w:b w:val="0"/>
          <w:bCs w:val="0"/>
          <w:spacing w:val="0"/>
          <w:sz w:val="32"/>
          <w:szCs w:val="32"/>
          <w:lang w:val="en-US" w:eastAsia="zh-CN"/>
        </w:rPr>
        <w:t>区政府办公室负责对全区行政许可事项清单、实施规范进行动态管理，上级清单作出动态调整的，区级清单要及时相应调整，确保清单与法律法规规章的“立改废”及时有效衔接，与行政审批制度改革决策协调联动，并及时研究解决清单管理和行政许可实施中的重大问题。政务服务事项基本目录、“互联网+监管”事项清单、投资项目审批事项清单、工程建设项目审批事项清单等涉及的行政许可事项，要与行政许可事项清单保持一致，确保行政许可事项清单权威准确。</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二是严格控制行政许可事项。</w:t>
      </w:r>
      <w:r>
        <w:rPr>
          <w:rFonts w:hint="default" w:ascii="Times New Roman" w:hAnsi="Times New Roman" w:eastAsia="仿宋_GB2312" w:cs="Times New Roman"/>
          <w:b w:val="0"/>
          <w:bCs w:val="0"/>
          <w:spacing w:val="0"/>
          <w:sz w:val="32"/>
          <w:szCs w:val="32"/>
          <w:lang w:val="en-US" w:eastAsia="zh-CN"/>
        </w:rPr>
        <w:t>严格落实清单之外一律不得违法实施行政许可的要求。区司法局要加强对行政规范性文件的备案审查，对违法设定行政许可或者增设行政许可条件的，按照规定程序处理，予以纠正。在行政许可事项清单之外，行政机关和其他具有管理公共事务职能的组织不得以备案、证明、目录、计划、规划、指定、认证、年检等名义，要求行政相对人经申请获批后方可从事特定活动。区政府办公室要会同司法局等相关部门，加大清理整治工作力度，防止扩大审批范围、实施变相行政许可等行为。对实施变相行政许可的，要通过停止实施、调整实施方式、完善设定依据等予以纠正。</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三是推动审管联动有序衔接。</w:t>
      </w:r>
      <w:r>
        <w:rPr>
          <w:rFonts w:hint="default" w:ascii="Times New Roman" w:hAnsi="Times New Roman" w:eastAsia="仿宋_GB2312" w:cs="Times New Roman"/>
          <w:b w:val="0"/>
          <w:bCs w:val="0"/>
          <w:spacing w:val="0"/>
          <w:sz w:val="32"/>
          <w:szCs w:val="32"/>
          <w:lang w:val="en-US" w:eastAsia="zh-CN"/>
        </w:rPr>
        <w:t>严格依照法律法规、“三定”规定和相对集中行政许可权改革方案，确定行政许可事项的监管主体和监管职责。对多部门共同承担监管职责的事项，主管部门应当会同相关部门实施综合监管。有关部门之间就监管主体存在争议的，报区政府决定。对清单内的许可事项，主管部门要会同监管主体科学划分风险等级，明确监管重点，实施有针对性、差异化的监管政策。对划转至行政审批服务局实施的行政许可事项，要坚持“谁审批、谁负责，谁主管、谁监管”原则，划转双方及时修订审管衔接备忘录，逐项明确监管主体、监管事项和监管措施，确保审管无缝衔接、协调联动。对调整实施层级的行政许可事项，主管部门要会同实施机关，明确监管主体、监管职责，逐项制定监管规则和标准，加强对上沟通和业务培训。对取消或许可改为备案的事项，主管部门要逐项制定加强事中事后监管的措施，防止监管缺位。</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四是优化线上线下审批服务。</w:t>
      </w:r>
      <w:r>
        <w:rPr>
          <w:rFonts w:hint="default" w:ascii="Times New Roman" w:hAnsi="Times New Roman" w:eastAsia="仿宋_GB2312" w:cs="Times New Roman"/>
          <w:b w:val="0"/>
          <w:bCs w:val="0"/>
          <w:spacing w:val="0"/>
          <w:sz w:val="32"/>
          <w:szCs w:val="32"/>
          <w:lang w:val="en-US" w:eastAsia="zh-CN"/>
        </w:rPr>
        <w:t>各主管部门和实施机关要依托全国行政许可管理系统和“爱山东”政务服务平台事项管理系统，推动同一事项在不同地区、层级和业务系统同要素管理、同标准办理。按照“网上办理优先、线上线下并行”要求，规范线上办事服务，统一网上办事入口，优化网上办事指引，提升网上办理深度；优化线下服务功能，规范政务服务场所设置，建立健全帮办代办服务体系，持续做好无障碍设施建设；强化线上线下审批服务深度融合，推动审批服务业务全流程模块化改造，切实提升企业和群众获得感、满意度。</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四</w:t>
      </w:r>
      <w:r>
        <w:rPr>
          <w:rFonts w:hint="default" w:ascii="Times New Roman" w:hAnsi="Times New Roman" w:eastAsia="黑体" w:cs="Times New Roman"/>
          <w:b w:val="0"/>
          <w:bCs w:val="0"/>
          <w:spacing w:val="0"/>
          <w:sz w:val="32"/>
          <w:szCs w:val="32"/>
          <w:lang w:val="en-US" w:eastAsia="zh-CN"/>
        </w:rPr>
        <w:t>、保障措施</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一是加强组织领导。</w:t>
      </w:r>
      <w:r>
        <w:rPr>
          <w:rFonts w:hint="default" w:ascii="Times New Roman" w:hAnsi="Times New Roman" w:eastAsia="仿宋_GB2312" w:cs="Times New Roman"/>
          <w:b w:val="0"/>
          <w:bCs w:val="0"/>
          <w:spacing w:val="0"/>
          <w:sz w:val="32"/>
          <w:szCs w:val="32"/>
          <w:lang w:val="en-US" w:eastAsia="zh-CN"/>
        </w:rPr>
        <w:t>各镇街、相关部门单位要高度重视全面实行行政许可事项清单管理工作，建立健全工作推进机制，配齐配强行政审批制度改革工作力量，持之以恒抓好贯彻落实。要坚持系统思维，统筹推进行政许可事项等政务服务事项标准化、规范化、便利化，及时研究解决问题，确保行政许可事项清单落实落地、发挥实效。</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二是做好工作衔接。</w:t>
      </w:r>
      <w:r>
        <w:rPr>
          <w:rFonts w:hint="default" w:ascii="Times New Roman" w:hAnsi="Times New Roman" w:eastAsia="仿宋_GB2312" w:cs="Times New Roman"/>
          <w:b w:val="0"/>
          <w:bCs w:val="0"/>
          <w:spacing w:val="0"/>
          <w:sz w:val="32"/>
          <w:szCs w:val="32"/>
          <w:lang w:val="en-US" w:eastAsia="zh-CN"/>
        </w:rPr>
        <w:t>各主管部门要切实做好本系统行政许可事项清单管理工作，积极对接市级主管部门，科学制定实施规范，加强对本系统行政许可事项清单管理的督促指导，推动构建分级负责、事项统一、权责清晰的行政许可事项清单体系。要在省、市两级主管部门的指导下，结合行政审批制度改革实际，明确细化相关要素，确保清单准确性、及时性、权威性、合法性。要与实施机关建立联动机制，形成部门合力，实现行政权力无缝运行。</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lang w:val="en-US" w:eastAsia="zh-CN"/>
        </w:rPr>
        <w:t>三是强化监督问责。</w:t>
      </w:r>
      <w:r>
        <w:rPr>
          <w:rFonts w:hint="default" w:ascii="Times New Roman" w:hAnsi="Times New Roman" w:eastAsia="仿宋_GB2312" w:cs="Times New Roman"/>
          <w:b w:val="0"/>
          <w:bCs w:val="0"/>
          <w:spacing w:val="0"/>
          <w:sz w:val="32"/>
          <w:szCs w:val="32"/>
          <w:lang w:val="en-US" w:eastAsia="zh-CN"/>
        </w:rPr>
        <w:t>区政府办公室要加强对行政许可事项清单落实情况的监督检查，组织开展对行政许可事项实施情况的动态评估。依托“12345政务服务便民热线”、政务服务“好差评”系统、政府门户网站等主动接受社会监督。要会同区司法局等有关部门加强行政许可执法监督，对违法设定实施行政许可、实施变相许可、落实清单管理工作不到位等问题，责成有关部门限期整改；对于情节严重的，依法依规追责问责。</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default" w:ascii="Times New Roman" w:hAnsi="Times New Roman" w:eastAsia="仿宋_GB2312" w:cs="Times New Roman"/>
          <w:b w:val="0"/>
          <w:bCs w:val="0"/>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附件：</w:t>
      </w:r>
      <w:r>
        <w:rPr>
          <w:rFonts w:hint="default" w:ascii="Times New Roman" w:hAnsi="Times New Roman" w:eastAsia="仿宋_GB2312" w:cs="Times New Roman"/>
          <w:b w:val="0"/>
          <w:bCs w:val="0"/>
          <w:spacing w:val="0"/>
          <w:sz w:val="32"/>
          <w:szCs w:val="32"/>
          <w:lang w:val="en-US" w:eastAsia="zh-CN"/>
        </w:rPr>
        <w:t>市中区</w:t>
      </w:r>
      <w:r>
        <w:rPr>
          <w:rFonts w:hint="default" w:ascii="Times New Roman" w:hAnsi="Times New Roman" w:eastAsia="仿宋_GB2312" w:cs="Times New Roman"/>
          <w:b w:val="0"/>
          <w:bCs w:val="0"/>
          <w:spacing w:val="0"/>
          <w:sz w:val="32"/>
          <w:szCs w:val="32"/>
        </w:rPr>
        <w:t>行政许可事项清单</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2022年版</w:t>
      </w:r>
      <w:r>
        <w:rPr>
          <w:rFonts w:hint="default" w:ascii="Times New Roman" w:hAnsi="Times New Roman" w:eastAsia="仿宋_GB2312" w:cs="Times New Roman"/>
          <w:b w:val="0"/>
          <w:bCs w:val="0"/>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textAlignment w:val="baseline"/>
        <w:rPr>
          <w:rFonts w:hint="default" w:ascii="Times New Roman" w:hAnsi="Times New Roman" w:eastAsia="仿宋_GB2312" w:cs="Times New Roman"/>
          <w:b w:val="0"/>
          <w:bCs w:val="0"/>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jc w:val="right"/>
        <w:textAlignment w:val="baseline"/>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jc w:val="right"/>
        <w:textAlignment w:val="baseline"/>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jc w:val="right"/>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市中区</w:t>
      </w:r>
      <w:r>
        <w:rPr>
          <w:rFonts w:hint="default" w:ascii="Times New Roman" w:hAnsi="Times New Roman" w:eastAsia="仿宋_GB2312" w:cs="Times New Roman"/>
          <w:b w:val="0"/>
          <w:bCs w:val="0"/>
          <w:spacing w:val="0"/>
          <w:sz w:val="32"/>
          <w:szCs w:val="32"/>
        </w:rPr>
        <w:t>人民政府</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jc w:val="right"/>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rPr>
        <w:t>2022年8月</w:t>
      </w:r>
      <w:r>
        <w:rPr>
          <w:rFonts w:hint="default" w:ascii="Times New Roman" w:hAnsi="Times New Roman" w:eastAsia="仿宋_GB2312" w:cs="Times New Roman"/>
          <w:b w:val="0"/>
          <w:bCs w:val="0"/>
          <w:spacing w:val="0"/>
          <w:sz w:val="32"/>
          <w:szCs w:val="32"/>
          <w:lang w:val="en-US" w:eastAsia="zh-CN"/>
        </w:rPr>
        <w:t>30</w:t>
      </w:r>
      <w:r>
        <w:rPr>
          <w:rFonts w:hint="default" w:ascii="Times New Roman" w:hAnsi="Times New Roman" w:eastAsia="仿宋_GB2312" w:cs="Times New Roman"/>
          <w:b w:val="0"/>
          <w:bCs w:val="0"/>
          <w:spacing w:val="0"/>
          <w:sz w:val="32"/>
          <w:szCs w:val="32"/>
        </w:rPr>
        <w:t>日</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default" w:ascii="Times New Roman" w:hAnsi="Times New Roman" w:eastAsia="等线" w:cs="Times New Roman"/>
          <w:b w:val="0"/>
          <w:bCs w:val="0"/>
          <w:sz w:val="28"/>
        </w:rPr>
      </w:pPr>
      <w:r>
        <w:rPr>
          <w:rFonts w:hint="default" w:ascii="Times New Roman" w:hAnsi="Times New Roman" w:eastAsia="仿宋_GB2312" w:cs="Times New Roman"/>
          <w:b w:val="0"/>
          <w:bCs w:val="0"/>
          <w:spacing w:val="0"/>
          <w:sz w:val="32"/>
          <w:szCs w:val="32"/>
          <w:lang w:val="en-US" w:eastAsia="zh-CN"/>
        </w:rPr>
        <w:t>（此件</w:t>
      </w:r>
      <w:r>
        <w:rPr>
          <w:rFonts w:hint="eastAsia" w:ascii="Times New Roman" w:hAnsi="Times New Roman" w:eastAsia="仿宋_GB2312" w:cs="Times New Roman"/>
          <w:b w:val="0"/>
          <w:bCs w:val="0"/>
          <w:spacing w:val="0"/>
          <w:sz w:val="32"/>
          <w:szCs w:val="32"/>
          <w:lang w:val="en-US" w:eastAsia="zh-CN"/>
        </w:rPr>
        <w:t>公开发布</w:t>
      </w:r>
      <w:r>
        <w:rPr>
          <w:rFonts w:hint="default" w:ascii="Times New Roman" w:hAnsi="Times New Roman" w:eastAsia="仿宋_GB2312" w:cs="Times New Roman"/>
          <w:b w:val="0"/>
          <w:bCs w:val="0"/>
          <w:spacing w:val="0"/>
          <w:sz w:val="32"/>
          <w:szCs w:val="32"/>
          <w:lang w:val="en-US" w:eastAsia="zh-CN"/>
        </w:rPr>
        <w:t>）</w:t>
      </w:r>
    </w:p>
    <w:p>
      <w:pPr>
        <w:pStyle w:val="2"/>
        <w:keepNext w:val="0"/>
        <w:keepLines w:val="0"/>
        <w:pageBreakBefore w:val="0"/>
        <w:widowControl w:val="0"/>
        <w:tabs>
          <w:tab w:val="left" w:pos="5430"/>
        </w:tabs>
        <w:kinsoku/>
        <w:wordWrap/>
        <w:overflowPunct/>
        <w:topLinePunct w:val="0"/>
        <w:autoSpaceDE w:val="0"/>
        <w:autoSpaceDN w:val="0"/>
        <w:bidi w:val="0"/>
        <w:adjustRightInd/>
        <w:snapToGrid/>
        <w:spacing w:line="500" w:lineRule="exact"/>
        <w:ind w:left="0" w:firstLine="140" w:firstLineChars="50"/>
        <w:textAlignment w:val="auto"/>
        <w:rPr>
          <w:rFonts w:hint="default" w:ascii="Times New Roman" w:hAnsi="Times New Roman" w:eastAsia="仿宋_GB2312" w:cs="Times New Roman"/>
          <w:b w:val="0"/>
          <w:bCs w:val="0"/>
          <w:sz w:val="28"/>
          <w:szCs w:val="28"/>
        </w:rPr>
      </w:pPr>
      <w:r>
        <w:rPr>
          <w:rFonts w:hint="default" w:ascii="Times New Roman" w:hAnsi="Times New Roman" w:cs="Times New Roman"/>
          <w:b w:val="0"/>
          <w:bCs w:val="0"/>
          <w:sz w:val="28"/>
          <w:szCs w:val="28"/>
        </w:rPr>
        <mc:AlternateContent>
          <mc:Choice Requires="wps">
            <w:drawing>
              <wp:anchor distT="0" distB="0" distL="114300" distR="114300" simplePos="0" relativeHeight="251660288" behindDoc="1" locked="0" layoutInCell="1" allowOverlap="1">
                <wp:simplePos x="0" y="0"/>
                <wp:positionH relativeFrom="page">
                  <wp:posOffset>1049655</wp:posOffset>
                </wp:positionH>
                <wp:positionV relativeFrom="paragraph">
                  <wp:posOffset>266700</wp:posOffset>
                </wp:positionV>
                <wp:extent cx="5412740" cy="12065"/>
                <wp:effectExtent l="0" t="0" r="0" b="0"/>
                <wp:wrapTopAndBottom/>
                <wp:docPr id="7" name="矩形 7"/>
                <wp:cNvGraphicFramePr/>
                <a:graphic xmlns:a="http://schemas.openxmlformats.org/drawingml/2006/main">
                  <a:graphicData uri="http://schemas.microsoft.com/office/word/2010/wordprocessingShape">
                    <wps:wsp>
                      <wps:cNvSpPr/>
                      <wps:spPr>
                        <a:xfrm>
                          <a:off x="0" y="0"/>
                          <a:ext cx="541274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2.65pt;margin-top:21pt;height:0.95pt;width:426.2pt;mso-position-horizontal-relative:page;mso-wrap-distance-bottom:0pt;mso-wrap-distance-top:0pt;z-index:-251656192;mso-width-relative:page;mso-height-relative:page;" fillcolor="#000000" filled="t" stroked="f" coordsize="21600,21600" o:gfxdata="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S3tOTYAAAACgEAAA8AAAAAAAAAAQAgAAAAIgAAAGRy&#10;cy9kb3ducmV2LnhtbFBLAQIUABQAAAAIAIdO4kBKrz6CkwEAABADAAAOAAAAAAAAAAEAIAAAACcB&#10;AABkcnMvZTJvRG9jLnhtbFBLBQYAAAAABgAGAFkBAAAsBQAAAAA=&#10;">
                <v:fill on="t" focussize="0,0"/>
                <v:stroke on="f"/>
                <v:imagedata o:title=""/>
                <o:lock v:ext="edit" aspectratio="f"/>
                <w10:wrap type="topAndBottom"/>
              </v:rect>
            </w:pict>
          </mc:Fallback>
        </mc:AlternateContent>
      </w:r>
      <w:r>
        <w:rPr>
          <w:rFonts w:hint="default" w:ascii="Times New Roman" w:hAnsi="Times New Roman" w:eastAsia="仿宋_GB2312" w:cs="Times New Roman"/>
          <w:b w:val="0"/>
          <w:bCs w:val="0"/>
          <w:sz w:val="28"/>
          <w:szCs w:val="28"/>
        </w:rPr>
        <w:t xml:space="preserve">市中区人民政府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w w:val="95"/>
          <w:sz w:val="28"/>
          <w:szCs w:val="28"/>
        </w:rPr>
        <w:t>2022年</w:t>
      </w:r>
      <w:r>
        <w:rPr>
          <w:rFonts w:hint="default" w:ascii="Times New Roman" w:hAnsi="Times New Roman" w:eastAsia="仿宋_GB2312" w:cs="Times New Roman"/>
          <w:b w:val="0"/>
          <w:bCs w:val="0"/>
          <w:w w:val="95"/>
          <w:sz w:val="28"/>
          <w:szCs w:val="28"/>
          <w:lang w:val="en-US" w:eastAsia="zh-CN"/>
        </w:rPr>
        <w:t>8</w:t>
      </w:r>
      <w:r>
        <w:rPr>
          <w:rFonts w:hint="default" w:ascii="Times New Roman" w:hAnsi="Times New Roman" w:eastAsia="仿宋_GB2312" w:cs="Times New Roman"/>
          <w:b w:val="0"/>
          <w:bCs w:val="0"/>
          <w:w w:val="95"/>
          <w:sz w:val="28"/>
          <w:szCs w:val="28"/>
        </w:rPr>
        <w:t>月</w:t>
      </w:r>
      <w:r>
        <w:rPr>
          <w:rFonts w:hint="default" w:ascii="Times New Roman" w:hAnsi="Times New Roman" w:eastAsia="仿宋_GB2312" w:cs="Times New Roman"/>
          <w:b w:val="0"/>
          <w:bCs w:val="0"/>
          <w:w w:val="95"/>
          <w:sz w:val="28"/>
          <w:szCs w:val="28"/>
          <w:lang w:val="en-US" w:eastAsia="zh-CN"/>
        </w:rPr>
        <w:t>30</w:t>
      </w:r>
      <w:r>
        <w:rPr>
          <w:rFonts w:hint="default" w:ascii="Times New Roman" w:hAnsi="Times New Roman" w:eastAsia="仿宋_GB2312" w:cs="Times New Roman"/>
          <w:b w:val="0"/>
          <w:bCs w:val="0"/>
          <w:w w:val="95"/>
          <w:sz w:val="28"/>
          <w:szCs w:val="28"/>
        </w:rPr>
        <w:t>日印发</w:t>
      </w:r>
    </w:p>
    <w:p>
      <w:pPr>
        <w:pStyle w:val="2"/>
        <w:spacing w:line="20" w:lineRule="exact"/>
        <w:ind w:left="109"/>
        <w:rPr>
          <w:rFonts w:hint="default" w:ascii="Times New Roman" w:hAnsi="Times New Roman" w:cs="Times New Roman"/>
          <w:b w:val="0"/>
          <w:bCs w:val="0"/>
          <w:sz w:val="2"/>
        </w:rPr>
      </w:pPr>
    </w:p>
    <w:p>
      <w:pPr>
        <w:rPr>
          <w:rFonts w:hint="default" w:ascii="Times New Roman" w:hAnsi="Times New Roman" w:cs="Times New Roman"/>
          <w:b w:val="0"/>
          <w:bCs w:val="0"/>
        </w:rPr>
      </w:pPr>
      <w:r>
        <w:rPr>
          <w:rFonts w:hint="default" w:ascii="Times New Roman" w:hAnsi="Times New Roman" w:cs="Times New Roman"/>
          <w:b w:val="0"/>
          <w:bCs w:val="0"/>
          <w:sz w:val="28"/>
          <w:szCs w:val="28"/>
        </w:rPr>
        <mc:AlternateContent>
          <mc:Choice Requires="wps">
            <w:drawing>
              <wp:anchor distT="0" distB="0" distL="114300" distR="114300" simplePos="0" relativeHeight="251661312" behindDoc="1" locked="0" layoutInCell="1" allowOverlap="1">
                <wp:simplePos x="0" y="0"/>
                <wp:positionH relativeFrom="page">
                  <wp:posOffset>1049655</wp:posOffset>
                </wp:positionH>
                <wp:positionV relativeFrom="paragraph">
                  <wp:posOffset>42545</wp:posOffset>
                </wp:positionV>
                <wp:extent cx="5412740" cy="12065"/>
                <wp:effectExtent l="0" t="0" r="0" b="0"/>
                <wp:wrapTopAndBottom/>
                <wp:docPr id="13" name="矩形 13"/>
                <wp:cNvGraphicFramePr/>
                <a:graphic xmlns:a="http://schemas.openxmlformats.org/drawingml/2006/main">
                  <a:graphicData uri="http://schemas.microsoft.com/office/word/2010/wordprocessingShape">
                    <wps:wsp>
                      <wps:cNvSpPr/>
                      <wps:spPr>
                        <a:xfrm>
                          <a:off x="0" y="0"/>
                          <a:ext cx="541274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2.65pt;margin-top:3.35pt;height:0.95pt;width:426.2pt;mso-position-horizontal-relative:page;mso-wrap-distance-bottom:0pt;mso-wrap-distance-top:0pt;z-index:-251655168;mso-width-relative:page;mso-height-relative:page;" fillcolor="#000000" filled="t" stroked="f" coordsize="21600,21600" o:gfxdata="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DPEiv1wAAAAgBAAAPAAAAAAAAAAEAIAAAACIAAABk&#10;cnMvZG93bnJldi54bWxQSwECFAAUAAAACACHTuJAOclDsJUBAAASAwAADgAAAAAAAAABACAAAAAm&#10;AQAAZHJzL2Uyb0RvYy54bWxQSwUGAAAAAAYABgBZAQAALQUAAAAA&#10;">
                <v:fill on="t" focussize="0,0"/>
                <v:stroke on="f"/>
                <v:imagedata o:title=""/>
                <o:lock v:ext="edit" aspectratio="f"/>
                <w10:wrap type="topAndBottom"/>
              </v:rect>
            </w:pict>
          </mc:Fallback>
        </mc:AlternateConten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default" w:ascii="Times New Roman" w:hAnsi="Times New Roman" w:eastAsia="仿宋_GB2312" w:cs="Times New Roman"/>
          <w:b w:val="0"/>
          <w:bCs w:val="0"/>
          <w:spacing w:val="0"/>
          <w:sz w:val="32"/>
          <w:szCs w:val="32"/>
          <w:lang w:val="en-US" w:eastAsia="zh-CN"/>
        </w:rPr>
        <w:sectPr>
          <w:footerReference r:id="rId3" w:type="default"/>
          <w:pgSz w:w="11906" w:h="16838"/>
          <w:pgMar w:top="1644" w:right="1644" w:bottom="1644" w:left="1644" w:header="851" w:footer="1417" w:gutter="0"/>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黑体" w:cs="Times New Roman"/>
          <w:b w:val="0"/>
          <w:bCs w:val="0"/>
          <w:spacing w:val="6"/>
          <w:sz w:val="32"/>
          <w:szCs w:val="32"/>
          <w:lang w:val="en-US" w:eastAsia="zh-CN"/>
        </w:rPr>
      </w:pPr>
      <w:r>
        <w:rPr>
          <w:rFonts w:hint="default" w:ascii="Times New Roman" w:hAnsi="Times New Roman" w:eastAsia="黑体" w:cs="Times New Roman"/>
          <w:b w:val="0"/>
          <w:bCs w:val="0"/>
          <w:spacing w:val="6"/>
          <w:sz w:val="32"/>
          <w:szCs w:val="32"/>
          <w:lang w:val="en-US" w:eastAsia="zh-CN"/>
        </w:rPr>
        <w:t>附件：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napToGrid w:val="0"/>
          <w:color w:val="000000"/>
          <w:kern w:val="0"/>
          <w:sz w:val="43"/>
          <w:szCs w:val="43"/>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napToGrid w:val="0"/>
          <w:color w:val="000000"/>
          <w:kern w:val="0"/>
          <w:sz w:val="43"/>
          <w:szCs w:val="43"/>
          <w:lang w:val="en-US" w:eastAsia="zh-CN" w:bidi="ar"/>
        </w:rPr>
      </w:pPr>
      <w:r>
        <w:rPr>
          <w:rFonts w:hint="default" w:ascii="Times New Roman" w:hAnsi="Times New Roman" w:eastAsia="方正小标宋简体" w:cs="Times New Roman"/>
          <w:b w:val="0"/>
          <w:bCs w:val="0"/>
          <w:snapToGrid w:val="0"/>
          <w:color w:val="000000"/>
          <w:kern w:val="0"/>
          <w:sz w:val="43"/>
          <w:szCs w:val="43"/>
          <w:lang w:val="en-US" w:eastAsia="zh-CN" w:bidi="ar"/>
        </w:rPr>
        <w:t>市中区行政许可事项清单（2022年版）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napToGrid w:val="0"/>
          <w:color w:val="000000"/>
          <w:kern w:val="0"/>
          <w:sz w:val="43"/>
          <w:szCs w:val="43"/>
          <w:lang w:val="en-US" w:eastAsia="zh-CN" w:bidi="ar"/>
        </w:rPr>
      </w:pPr>
    </w:p>
    <w:tbl>
      <w:tblPr>
        <w:tblStyle w:val="5"/>
        <w:tblW w:w="15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9"/>
        <w:gridCol w:w="2023"/>
        <w:gridCol w:w="2544"/>
        <w:gridCol w:w="267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snapToGrid w:val="0"/>
                <w:color w:val="000000"/>
                <w:kern w:val="0"/>
                <w:sz w:val="32"/>
                <w:szCs w:val="32"/>
                <w:u w:val="none"/>
                <w:lang w:val="en-US" w:eastAsia="zh-CN" w:bidi="ar"/>
              </w:rPr>
              <w:t>序号</w:t>
            </w:r>
          </w:p>
        </w:tc>
        <w:tc>
          <w:tcPr>
            <w:tcW w:w="2023"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snapToGrid w:val="0"/>
                <w:color w:val="000000"/>
                <w:kern w:val="0"/>
                <w:sz w:val="32"/>
                <w:szCs w:val="32"/>
                <w:u w:val="none"/>
                <w:lang w:val="en-US" w:eastAsia="zh-CN" w:bidi="ar"/>
              </w:rPr>
              <w:t>主管部门</w:t>
            </w:r>
          </w:p>
        </w:tc>
        <w:tc>
          <w:tcPr>
            <w:tcW w:w="2544"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snapToGrid w:val="0"/>
                <w:color w:val="000000"/>
                <w:kern w:val="0"/>
                <w:sz w:val="32"/>
                <w:szCs w:val="32"/>
                <w:u w:val="none"/>
                <w:lang w:val="en-US" w:eastAsia="zh-CN" w:bidi="ar"/>
              </w:rPr>
              <w:t>事项名称</w:t>
            </w:r>
          </w:p>
        </w:tc>
        <w:tc>
          <w:tcPr>
            <w:tcW w:w="2679"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snapToGrid w:val="0"/>
                <w:color w:val="000000"/>
                <w:kern w:val="0"/>
                <w:sz w:val="32"/>
                <w:szCs w:val="32"/>
                <w:u w:val="none"/>
                <w:lang w:val="en-US" w:eastAsia="zh-CN" w:bidi="ar"/>
              </w:rPr>
              <w:t>实施机关</w:t>
            </w:r>
          </w:p>
        </w:tc>
        <w:tc>
          <w:tcPr>
            <w:tcW w:w="7138"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32"/>
                <w:szCs w:val="32"/>
                <w:u w:val="none"/>
              </w:rPr>
            </w:pPr>
            <w:r>
              <w:rPr>
                <w:rFonts w:hint="default" w:ascii="Times New Roman" w:hAnsi="Times New Roman" w:eastAsia="黑体" w:cs="Times New Roman"/>
                <w:b w:val="0"/>
                <w:bCs w:val="0"/>
                <w:i w:val="0"/>
                <w:iCs w:val="0"/>
                <w:snapToGrid w:val="0"/>
                <w:color w:val="000000"/>
                <w:kern w:val="0"/>
                <w:sz w:val="32"/>
                <w:szCs w:val="32"/>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区委办公室</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延期移交档案审批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区档案局</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3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宗教活动场所筹备设立审批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区民族宗教局（初审省民族宗教委、市民族宗教局事权事项）</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宗教活动场所设立、变更、注销登记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区民族宗教局</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0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宗教活动场所内改建或者新建建筑物许可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区民族宗教局（初审省民族宗教委、市民族宗教局事权事项）；区委统战部</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6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宗教临时活动地点审批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区民族宗教局</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宗教团体、宗教院校、宗教活动场所接受境外捐赠审批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区民族宗教局</w:t>
            </w:r>
          </w:p>
        </w:tc>
        <w:tc>
          <w:tcPr>
            <w:tcW w:w="7138"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区委统战部</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华侨回国定居审批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区行政审批服务局（初审市审批服务局事权事项）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《中华人民共和国出境入境管理法》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《华侨回国定居办理工作规定》（国侨发〔2013〕18号）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区委编办</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事业单位登记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区委编办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《事业单位登记管理暂行条例》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固定资产投资项目核准（含国发〔2016〕72号文件规定的外商投资项目）</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《企业投资项目核准和备案管理条例》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《国务院关于发布政府核准的投资项目目录（2016年本）的通知》（国发〔2016〕72号）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《山东省人民政府关于发布政府核准的投资项目目录（山东省2017年本）的通知》（鲁政发〔2017〕31号）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固定资产投资项目节能审查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《中华人民共和国节约能源法》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《固定资产投资项目节能审查办法》（国家发展改革委令2016年第44号）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民办、中外合作开办中等及以下学校和其他教育机构筹设审批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《中华人民共和国民办教育促进法》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《中华人民共和国中外合作办学条例》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《国务院关于当前发展学前教育的若干意见》（国发〔2010〕41号）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《枣庄市人民政府关于2019年第一批调整市级行政许可等事项的通知》（枣政发〔2019〕2号）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0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中等及以下学校和其他教育机构设置审批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《中华人民共和国教育法》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《中华人民共和国民办教育促进法》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《中华人民共和国民办教育促进法实施条例》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《中华人民共和国中外合作办学条例》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《国务院关于当前发展学前教育的若干意见》（国发〔2010〕41号）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《国务院办公厅关于规范校外培训机构发展的意见》（国办发〔2018〕80号）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0"/>
                <w:kern w:val="0"/>
                <w:sz w:val="24"/>
                <w:szCs w:val="24"/>
                <w:u w:val="none"/>
                <w:lang w:val="en-US" w:eastAsia="zh-CN" w:bidi="ar"/>
              </w:rPr>
              <w:t>《枣庄市人民政府关于2019年第一批调整市级行政许可等事项的通知》</w:t>
            </w: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（枣政发〔2019〕2号）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2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从事文艺、体育等专业训练的社会组织自行实施义务教育审批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校车使用许可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区政府（由区行政审批服务局会同区公安分局、区交通运输局承办）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《校车安全管理条例》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教师资格认定</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《中华人民共和国教师法》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《教师资格条例》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《国家职业资格目录（2021年版）》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适龄儿童、少年因身体状况需要延缓入学或者休学审批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区教育体育局；镇政府（街道办事处）</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民用枪支及枪支主要零部件、弹药配置许可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举行集会游行示威许可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《中华人民共和国集会游行示威法》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《中华人民共和国集会游行示威法实施条例》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《山东省实施〈中华人民共和国集会游行示威法〉办法》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9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大型群众性活动安全许可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《中华人民共和国消防法》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公章刻制业特种行业许可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《印铸刻字业暂行管理规则》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旅馆业特种行业许可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《旅馆业治安管理办法》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互联网上网服务营业场所信息网络安全审核</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3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举办焰火晚会及其他大型焰火燃放活动许可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4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烟花爆竹道路运输许可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区公安分局（运达地或者启运地）</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民用爆炸物品购买许可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民用爆炸物品运输许可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区公安分局（运达地）</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剧毒化学品购买许可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剧毒化学品道路运输通行许可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放射性物品道路运输许可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《中华人民共和国核安全法》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运输危险化学品的车辆进入危险化学品运输车辆限制通行区域审批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易制毒化学品购买许可（除第一类中的药品类易制毒化学品外）</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《中华人民共和国禁毒法》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易制毒化学品运输许可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《中华人民共和国禁毒法》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FF0000"/>
                <w:spacing w:val="-6"/>
                <w:sz w:val="24"/>
                <w:szCs w:val="24"/>
                <w:u w:val="none"/>
              </w:rPr>
            </w:pPr>
            <w:r>
              <w:rPr>
                <w:rFonts w:hint="default" w:ascii="Times New Roman" w:hAnsi="Times New Roman" w:eastAsia="仿宋_GB2312" w:cs="Times New Roman"/>
                <w:b w:val="0"/>
                <w:bCs w:val="0"/>
                <w:i w:val="0"/>
                <w:iCs w:val="0"/>
                <w:snapToGrid w:val="0"/>
                <w:color w:val="000000"/>
                <w:spacing w:val="-17"/>
                <w:w w:val="90"/>
                <w:kern w:val="0"/>
                <w:sz w:val="24"/>
                <w:szCs w:val="24"/>
                <w:u w:val="none"/>
                <w:lang w:val="en-US" w:eastAsia="zh-CN" w:bidi="ar"/>
              </w:rPr>
              <w:t>金融机构营业场所和金库安全防范设施建设方案审批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FF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FF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金融机构营业场所和金库安全防范设施建设工程验收</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FF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机动车登记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23"/>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机动车临时通行牌证核发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23"/>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机动车检验合格标志核发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23"/>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机动车驾驶证核发、审验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39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校车驾驶资格许可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非机动车登记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《山东省电动自行车管理办法》（省政府令第348号）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涉路施工交通安全审查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户口迁移审批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《中华人民共和国户口登记条例》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犬类准养证核发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区公安分局（出台枣庄市养犬管理办法后实施）</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《中华人民共和国动物防疫法》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普通护照签发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区公安分局（受理国家移民局事权事项）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出入境通行证签发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区公安分局（受理国家移民局事权事项）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《中华人民共和国护照法》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边境管理区通行证核发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《边境管理区通行证管理办法》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内地居民前往港澳通行证、往来港澳通行证及签注签发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《出境入境管理法》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港澳居民来往内地通行证签发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《出境入境管理法》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49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港澳居民定居证明签发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大陆居民往来台湾通行证及签注签发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《出境入境管理法》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台湾居民来往大陆通行证签发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台湾居民定居证明签发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区公安分局（受理部分中华人民共和国出入境管理局事权事项）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临时占用道路从事大型活动的许可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《山东省实施〈中华人民共和国道路交通安全法〉办法》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8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在限制、禁止的区域或者路段通行、停靠机动车的许可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区公安分局交警大队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《山东省实施〈中华人民共和国道路交通安全法〉办法》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社会团体成立、变更、注销登记及修改章程核准</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区行政审批服务局（实行登记管理机关和业务主管单位双重负责管理体制的，由有关业务主管单位实施前置审查）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《社会团体登记管理条例》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5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民办非企业单位成立、变更、注销登记及修改章程核准</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区行政审批服务局（实行登记管理机关和业务主管单位双重负责管理体制的，由有关业务主管单位实施前置审查）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《民办非企业单位登记管理暂行条例》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3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宗教活动场所法人成立、变更、注销登记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区行政审批服务局（由区民族宗教局实施前置审查）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《宗教事务条例》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慈善组织公开募捐资格审批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《中华人民共和国慈善法》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59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殡葬设施建设审批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《殡葬管理条例》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《国务院关于深化“证照分离”改革进一步激发市场主体发展活力的通知》（国发〔2021〕7号）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《枣庄市人民政府关于2016年第二批调整行政权力事项的通知》（枣政字〔2016〕38号）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地名命名、更名审批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区民政局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区财政局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中介机构从事代理记账业务审批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《中华人民共和国会计法》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《代理记账管理办法》（财政部令第80号，2019年3月财政部令第98号修正）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区人社局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职业培训学校筹设审批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《中华人民共和国民办教育促进法》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《中华人民共和国中外合作办学条例》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《枣庄市人民政府关于2018年第一批调整市级行政权力事项的通知》（枣政字〔2018〕14号）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区人社局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职业培训学校办学许可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《中华人民共和国民办教育促进法》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《中华人民共和国中外合作办学条例》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《枣庄市人民政府关于2018年第一批调整市级行政权力事项的通知》（枣政字〔2018〕14号）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区人社局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人力资源服务许可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《中华人民共和国就业促进法》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《人力资源市场暂行条例》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《枣庄市人民政府关于2018年第一批调整市级行政权力事项的通知》（枣政字〔2018〕14号）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区人社局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劳务派遣经营许可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《中华人民共和国劳动合同法》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《劳务派遣行政许可实施办法》（人力资源社会保障部令第19号）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《枣庄市人民政府关于2018年第一批调整市级行政权力事项的通知》（枣政字〔2018〕14号）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区人社局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企业实行不定时工作制和综合计算工时工作制审批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《中华人民共和国劳动法》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《关于企业实行不定时工作制和综合计算工时工作制的审批办法》（劳部发〔1994〕503号）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开采矿产资源审批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《中华人民共和国矿产资源法》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《中华人民共和国矿产资源法实施细则》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法人或者其他组织需要利用属于国家秘密的基础测绘成果审批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《中华人民共和国测绘成果管理条例》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《基础测绘成果提供使用管理暂行办法》（国测法字〔2006〕13号）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01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69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建设项目用地预审与选址意见书核发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区自然资源局（受市审批服务局委托实施）；区自然资源局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《中华人民共和国城乡规划法》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《建设项目用地预审管理办法》（国土资源部令第68号）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《山东省自然资源厅印发关于建设项目用地预审和规划选址实行“多审合一”的通知》（鲁自然资字〔2019〕72 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《关于将市级建设项目规划行政许可权委托区级实施的决定》（市政府令第5号）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0"/>
                <w:kern w:val="0"/>
                <w:sz w:val="24"/>
                <w:szCs w:val="24"/>
                <w:u w:val="none"/>
                <w:lang w:val="en-US" w:eastAsia="zh-CN" w:bidi="ar"/>
              </w:rPr>
              <w:t>《枣庄市人民政府关于修改部分市政府规章的决定》（市政府令第7号）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6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国有建设用地使用权出让后土地使用权分割转让批准</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6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乡（镇）村企业使用集体建设用地审批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区政府（由区自然资源局承办）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乡（镇）村公共设施、公益事业使用集体建设用地审批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区政府（由区自然资源局承办）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临时用地审批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0"/>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0"/>
                <w:kern w:val="0"/>
                <w:sz w:val="24"/>
                <w:szCs w:val="24"/>
                <w:u w:val="none"/>
                <w:lang w:val="en-US" w:eastAsia="zh-CN" w:bidi="ar"/>
              </w:rPr>
              <w:t>《自然资源部关于规范临时用地管理的通知》（自然资规〔2021〕2号）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《山东省自然资源厅转发《自然资源部关于规范临时用地管理的通知》</w:t>
            </w: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的通知》（鲁自然资字〔2021〕219号）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建设用地、临时建设用地规划许可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区自然资源局（受市审批服务局委托实施）；区自然资源局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《中华人民共和国城乡规划法》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《关于将市级建设项目规划行政许可权委托区级实施的决定》（市政府令第5号）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0"/>
                <w:kern w:val="0"/>
                <w:sz w:val="24"/>
                <w:szCs w:val="24"/>
                <w:u w:val="none"/>
                <w:lang w:val="en-US" w:eastAsia="zh-CN" w:bidi="ar"/>
              </w:rPr>
              <w:t>《枣庄市人民政府关于修改部分市政府规章的决定》（市政府令第7号）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3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开发未确定使用权的国有荒山、荒地、荒滩从事生产审查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区政府（由区自然资源局承办）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建设工程、临时建设工程规划许可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区自然资源局（受市审批服务局委托实施）；区自然资源局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《中华人民共和国城乡规划法》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《山东省城乡规划条例》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《关于将市级建设项目规划行政许可权委托区级实施的决定》（市政府令第5号）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《枣庄市人民政府关于修改部分市政府规章的决定》（市政府令第7号）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乡村建设规划许可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区自然资源局（受市审批服务局委托实施）；区自然资源局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《中华人民共和国城乡规划法》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《山东省城乡规划条例》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《关于将市级建设项目规划行政许可权委托区级实施的决定》（市政府令第5号）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《枣庄市人民政府关于修改部分市政府规章的决定》（市政府令第7号）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一般建设项目环境影响评价审批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《中华人民共和国环境保护法》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《中华人民共和国环境影响评价法》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《中华人民共和国水污染防治法》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《中华人民共和国大气污染防治法》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《中华人民共和国土壤污染防治法》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《中华人民共和国固体废物污染环境防治法》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《中华人民共和国噪声污染防治法》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79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江河、湖泊新建、改建或者扩大排污口审批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《中华人民共和国水污染防治法》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危险废物经营许可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《中华人民共和国固体废物污染环境防治法》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放射性核素排放许可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区生态环境分局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建筑工程施工许可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《中华人民共和国建筑法》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《建筑工程施工许可管理办法》（住房城乡建设部令第18号公布，住房城乡建设部令第52号修正）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4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商品房预售许可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《中华人民共和国城市房地产管理法》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《山东省商品房销售条例》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4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燃气经营许可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《城镇燃气管理条例》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《枣庄市人民政府关于2017年第一批调整市级行政权力事项的通知》（枣政字〔2017〕19号）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燃气经营者改动市政燃气设施审批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《城镇燃气管理条例》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《国务院关于第六批取消和调整行政审批项目的决定》（国发〔2012〕52号）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《枣庄市人民政府关于2017年第一批调整市级行政权力事项的通知》（枣政字〔2017〕19号）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历史建筑实施原址保护审批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区行政审批服务局会同区文化和旅游局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《历史文化名城名镇名村保护条例》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历史文化街区、名镇、名村核心保护范围内拆除历史建筑以外的建筑物、构筑物或者其他设施审批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区行政审批服务局会同区文化和旅游局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《历史文化名城名镇名村保护条例》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历史建筑外部修缮装饰、添加设施以及改变历史建筑的结构或者使用性质审批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区行政审批服务局会同区文化和旅游局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《历史文化名城名镇名村保护条例》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89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建设工程消防设计审查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《中华人民共和国消防法》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建设工程消防验收</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《中华人民共和国消防法》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在村庄、集镇规划区内公共场所修建临时建筑等设施审批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镇政府（街道办事处）</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建筑起重机械使用登记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《中华人民共和国特种设备安全法》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供热经营许可证核发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《山东省供热条例》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《山东省供热经营许可管理办法》（鲁建燃热字〔2016〕14号）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区住建局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供热企业停业许可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《山东省供热条例》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《山东省城市建设管理条例》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公路建设项目设计文件审批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《建设工程质量管理条例》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《建设工程勘察设计管理条例》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《农村公路建设管理办法》（交通运输部令2018年第4号）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公路建设项目施工许可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《公路建设市场管理办法》（交通部令2004年第14号公布，交通运输部令2015年第11号修正）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公路建设项目竣工验收</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《收费公路管理条例》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《公路工程竣（交）工验收办法》（交通部令2004年第3号）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《农村公路建设管理办法》（交通运输部令2018年第4号）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公路超限运输许可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《公路安全保护条例》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6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99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涉路施工许可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《公路安全保护条例》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《路政管理规定》（交通部令2003年第2号公布，交通运输部令2016年第81号修正）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5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更新采伐护路林审批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《公路安全保护条例》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《路政管理规定》（交通部令2003年第2号公布，交通运输部令2016年第81号修正）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2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道路旅客运输经营许可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《中华人民共和国道路运输条例》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道路旅客运输站经营许可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《中华人民共和国道路运输条例》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2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道路货物运输经营许可（除使用4500千克及以下普通货运车辆从事普通货运经营外）</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《中华人民共和国道路运输条例》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《道路货物运输及站场管理规定》（交通部令2005年第6号公布，交通运输部令2019年第17号修正）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出租汽车经营许可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出租汽车车辆运营证核发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水运建设项目设计文件审批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《中华人民共和国港口法》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《中华人民共和国航道法》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《中华人民共和国航道管理条例》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《建设工程质量管理条例》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color w:val="000000"/>
                <w:spacing w:val="-6"/>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水运工程建设项目竣工验收</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《中华人民共和国港口法》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《中华人民共和国航道法》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《中华人民共和国航道管理条例》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《港口工程建设管理规定》（交通运输部令2018年第2号公布，交通运输部令2019年第32号修正）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《航道工程建设管理规定》（交通运输部令2019年第44号）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设置或者撤销内河渡口审批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区政府（由区交通运输局承办）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109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占用国防交通控制范围土地审批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《中华人民共和国国防交通法》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城市公共汽（电）车客运经营（含线路经营）许可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《山东省道路运输条例》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区交通运输局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使用浮桥或载客十二人以下船舶从事水路运输经营许可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《山东省水路交通条例》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《山东省渡运管理办法》（省政府令第203号）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城镇污水排入排水管网许可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《城镇排水与污水处理条例》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7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拆除、改动、迁移城市公共供水设施审核</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《城市供水条例》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1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拆除、改动城镇排水与污水处理设施审核</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《城镇排水与污水处理条例》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9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由于工程施工、设备维修等原因确需停止供水的审批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《城市供水条例》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供水企业停业歇业许可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《山东省城市建设管理条例》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水利基建项目初步设计文件审批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取水许可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《取水许可和水资源费征收管理条例》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9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119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河道管理范围内特定活动审批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《中华人民共和国河道管理条例》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t>《山东省实施〈中华人民共和国河道管理条例〉办法》（省政府令第19号）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河道采砂许可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《中华人民共和国河道管理条例》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t>《山东省实施〈中华人民共和国河道管理条例〉办法》（省政府令第19号）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生产建设项目水土保持方案审批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《中华人民共和国水土保持法》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农村集体经济组织修建水库审批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6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城市建设填堵水域、废除围堤审批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《中华人民共和国防洪法》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占用农业灌溉水源、灌排工程设施审批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9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坝顶兼做公路审批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《水库大坝安全管理条例》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《山东省人民政府关于取消和下放行政审批事项的决定》（省政府令第264号）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4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蓄滞洪区避洪设施建设审批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大坝管理和保护范围内修建码头、渔塘许可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《水库大坝安全管理条例》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7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洪水影响评价类审批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《中华人民共和国防洪法》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《中华人民共和国河道管理条例》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《中华人民共和国水文条例》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129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区城乡水务局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利用堤顶、戗台兼做公路审批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《中华人民共和国河道管理条例》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《山东省黄河河道管理条例》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w w:val="93"/>
                <w:kern w:val="0"/>
                <w:sz w:val="24"/>
                <w:szCs w:val="24"/>
                <w:u w:val="none"/>
                <w:lang w:val="en-US" w:eastAsia="zh-CN" w:bidi="ar"/>
              </w:rPr>
              <w:t>《山东省实施&lt;中华人民共和国河道管理条例&gt;办法》（省政府令第19号）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农药经营许可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《农药管理条例》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7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食用菌菌种生产经营许可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区行政审批服务局（受理省农业农村厅事权事项）；区行政审批服务局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《中华人民共和国种子法》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《食用菌菌种管理办法》（农业部令2006年第62号公布，农业部令2015年第1号修正）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使用低于国家或地方规定的种用标准的农作物种子审批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区政府（由区农业农村局承办）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蚕种生产经营许可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区行政审批服务局（受理省农业农村厅事权事项）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《中华人民共和国畜牧法》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《蚕种管理办法》（农业部令2006年第68号）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农业植物检疫证书核发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《植物检疫条例》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6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农业植物产地检疫合格证签发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《植物检疫条例》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农业野生植物采集、出售、收购、野外考察审批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区行政审批服务局（受理省农业农村厅关于采集国家二级保护野生植物的事权事项）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《中华人民共和国野生植物保护条例》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拖拉机和联合收割机驾驶证核发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《农业机械安全监督管理条例》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拖拉机和联合收割机登记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《中华人民共和国道路交通安全法》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《农业机械安全监督管理条例》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9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139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工商企业等社会资本通过流转取得土地经营权审批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区政府（由区农业农村局承办）；镇政府（街道办事处）（由农业农村部门或者农村经营管理部门承办）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《中华人民共和国农村土地承包法》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农村村民宅基地审批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镇政府（街道办事处）</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水产苗种生产经营审批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《中华人民共和国渔业法》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《水产苗种管理办法》（农业部令2005年第46号）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《农业转基因生物安全管理条例》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水域滩涂养殖证核发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《中华人民共和国渔业法》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猎捕省重点保护水生野生动物审批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出售、购买、利用省重点保护水生野生动物及其制品审批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人工繁育省重点保护水生野生动物审批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9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外国人在我省对省重点保护水生野生动物进行野外考察或者在野外拍摄电影、录像等活动审批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农作物种子生产经营许可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《中华人民共和国种子法》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《农业转基因生物安全管理条例》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《转基因棉花种子生产经营许可规定》（农业部公告第2436号公布，农业农村部令2019年第2号修正）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动物及动物产品检疫合格证核发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《中华人民共和国动物防疫法》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《动物检疫管理办法》（农业部令2010年第6号公布，农业农村部令2019年第2号修正）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149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兽药经营许可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《兽药管理条例》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种畜禽生产经营许可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《中华人民共和国畜牧法》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《农业转基因生物安全管理条例》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《养蜂管理办法（试行）》（农业部公告第1692号）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动物防疫条件合格证核发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《中华人民共和国动物防疫法》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向无规定动物疫病区输入易感动物、动物产品的检疫审批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区行政审批服务局（受省畜牧局委托实施）</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《中华人民共和国动物防疫法》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《动物检疫管理办法》（农业部令2010年第6号公布，农业农村部令2019年第2号修正）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《山东省无规定动物疫病区管理办法》（省政府令第157号发布，省政府令第228号修正）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7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动物诊疗许可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《中华人民共和国动物防疫法》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《动物诊疗机构管理办法》（农业部令2008年第19号公布，农业部令2017年第8号修正）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生鲜乳收购站许可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《乳品质量安全监督管理条例》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区农业农村局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生鲜乳准运证明核发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《乳品质量安全监督管理条例》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文艺表演团体设立审批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《营业性演出管理条例》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营业性演出审批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《营业性演出管理条例》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《营业性演出管理条例实施细则》（文化部令第47号公布，文化部令第57号修正）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娱乐场所经营活动审批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《娱乐场所管理条例》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159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互联网上网服务营业场所筹建审批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《互联网上网服务营业场所管理条例》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互联网上网服务经营活动审批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《互联网上网服务营业场所管理条例》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建设工程文物保护许可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区政府（由区行政审批服务局承办，征得上一级文化和旅游部门同意）；区行政审批服务局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《中华人民共和国文物保护法》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《山东省文物保护条例》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文物保护单位原址保护措施审批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核定为文物保护单位的属于国家所有的纪念建筑物或者古建筑改变用途审批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区政府（由区行政审批服务局承办，征得上一级文化和旅游部门同意）</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《中华人民共和国文物保护法》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不可移动文物修缮审批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非国有文物收藏单位和其他单位借用国有馆藏文物审批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4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博物馆处理不够入藏标准、无保存价值的文物或标本审批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对尚未被认定为文物的监管物品审核</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《山东省文物保护条例》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广播电视专用频段频率使用许可</w:t>
            </w:r>
          </w:p>
        </w:tc>
        <w:tc>
          <w:tcPr>
            <w:tcW w:w="2679"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区文化和旅游局（受理广电总局事权事项并逐级上报）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169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广播电台、电视台设立、终止审批</w:t>
            </w:r>
          </w:p>
        </w:tc>
        <w:tc>
          <w:tcPr>
            <w:tcW w:w="2679"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区文化和旅游局（受理广电总局事权事项并逐级上报）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广播电台、电视台变更台名、台标、节目设置范围或节目套数审批</w:t>
            </w:r>
          </w:p>
        </w:tc>
        <w:tc>
          <w:tcPr>
            <w:tcW w:w="2679"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区文化和旅游局（受理广电总局事权事项并逐级上报）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3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乡镇设立广播电视站和机关、部队、团体、企业事业单位设立有线广播电视站审批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区行政审批服务局（初审省广电局事权事项）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《广播电视站审批管理暂行规定》（广播电影电视总局令第32号）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广播电视视频点播业务审批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区文旅局（受理省广电局事权事项并逐级上报）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《广播电视视频点播业务管理办法》（广播电影电视总局令第35号公布，广播电视总局令第9号修正）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卫星电视广播地面接收设施安装服务许可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区行政审批服务局（初审省广电局事权事项）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《卫星电视广播地面接收设施管理规定》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《卫星电视广播地面接收设施安装服务暂行办法》（广播电影电视总局令第60号公布，广播电视总局令第10号修正）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w w:val="96"/>
                <w:kern w:val="0"/>
                <w:sz w:val="24"/>
                <w:szCs w:val="24"/>
                <w:u w:val="none"/>
                <w:lang w:val="en-US" w:eastAsia="zh-CN" w:bidi="ar"/>
              </w:rPr>
              <w:t>《广电总局关于设立卫星地面接收设施安装服务机构审批事项的通知》</w:t>
            </w: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（广发〔2010〕24号）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设置卫星电视广播地面接收设施审批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区行政审批服务局（初审省广电局事权事项）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《广播电视管理条例》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《卫星电视广播地面接收设施管理规定》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出版物零售业务经营许可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《出版管理条例》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区文旅局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电影放映单位设立审批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区行政审批服务局（受省电影局委托实施）；区行政审批服务局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《中华人民共和国电影产业促进法》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《电影管理条例》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《外商投资电影院暂行规定》（广播电影电视总局、商务部、文化部令第21号公布，广播电影电视总局令第51号修正）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《山东省人民政府关于取消和下放行政审批事项的决定》（省政府令第264号）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饮用水供水单位卫生许可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《中华人民共和国传染病防治法》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《枣庄市人民政府关于承接省下放行政审批事项和2015年第一批取消下放行政审批事项的通知》（枣政字〔2015〕21号）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公共场所卫生许可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《中华人民共和国传染病防治法》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《枣庄市人民政府关于承接省下放行政审批事项和2015年第一批取消下放行政审批事项的通知》（枣政字〔2015〕21号）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179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医疗机构建设项目放射性职业病危害预评价报告审核</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《中华人民共和国职业病防治法》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7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医疗机构建设项目放射性职业病防护设施竣工验收</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《中华人民共和国职业病防治法》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医疗机构设置审批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医疗机构执业登记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母婴保健技术服务机构执业许可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《中华人民共和国母婴保健法》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《中华人民共和国母婴保健法实施办法》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放射源诊疗技术和医用辐射机构许可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《放射性同位素与射线装置安全和防护条例》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单采血浆站设置审批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区行政审批服务局（初审省卫生健康委〔省中医药局〕事权事项）</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《血液制品管理条例》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医师执业注册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《中华人民共和国医师法》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《医师执业注册管理办法》（国家卫生计生委令第13号）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乡村医生执业注册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《乡村医生从业管理条例》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1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母婴保健服务人员资格认定</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《中华人民共和国母婴保健法》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《中华人民共和国母婴保健法实施办法》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《国家职业资格目录（2021年版）》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1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189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护士执业注册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《护士条例》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《国家职业资格目录（2021年版）》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确有专长的中医医师资格认定</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区卫生健康局（受理省卫生健康委〔省中医药局〕事权事项并逐级上报）</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《中华人民共和国中医药法》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确有专长的中医医师执业注册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《中华人民共和国中医药法》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中医医疗机构设置审批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《中华人民共和国中医药法》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中医医疗机构执业登记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区卫健局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《中华人民共和国中医药法》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石油天然气建设项目安全设施设计审查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《中华人民共和国安全生产法》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金属冶炼建设项目安全设施设计审查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《中华人民共和国安全生产法》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w w:val="98"/>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w w:val="98"/>
                <w:kern w:val="0"/>
                <w:sz w:val="24"/>
                <w:szCs w:val="24"/>
                <w:u w:val="none"/>
                <w:lang w:val="en-US" w:eastAsia="zh-CN" w:bidi="ar"/>
              </w:rPr>
              <w:t>《冶金企业和有色金属企业安全生产规定》（安全监管总局令第91号）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3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《危险化学品经营许可证管理办法》（安全监管总局令第55号公布，安全监管总局令第79号修正）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生产、储存烟花爆竹建设项目安全设施设计审查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《中华人民共和国安全生产法》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《烟花爆竹安全管理条例》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《烟花爆竹经营许可实施办法》（安全监管总局令第65号）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199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一般工程抗震设防要求审定</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《山东省防震减灾条例》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《山东省建设工程抗震设防条例》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矿山建设项目安全设施设计审查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《中华人民共和国安全生产法》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《煤矿安全监察条例》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《煤矿建设项目安全设施监察规定》（安全监管总局令第6号公布，安全监管总局令第81号修正）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《中华人民共和国应急管理部公告》（2021年第1号）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区应急管理局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地震观测环境保护范围内建设工程项目审批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《山东省地震监测设施与地震观测环境保护条例》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区消防救援大队</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公众聚集场所投入使用、营业前消防安全检查</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区消防救援大队</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《中华人民共和国消防法》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食品生产许可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《中华人民共和国食品安全法》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《食品生产许可管理办法》（市场监管总局令第24号）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食品添加剂生产许可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《中华人民共和国食品安全法》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《食品生产许可管理办法》（市场监管总局令第24号）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《中华人民共和国食品安全法》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特种设备使用登记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《中华人民共和国特种设备安全法》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《特种设备安全监察条例》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《山东省特种设备安全条例》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特种设备安全管理和作业人员资格认定</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《中华人民共和国特种设备安全法》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《特种设备安全监察条例》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《特种设备作业人员监督管理办法》（质检总局令第70号公布，质检总局令第140号修正）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8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计量标准器具核准</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《中华人民共和国计量法》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209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承担国家法定计量检定机构任务授权</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《中华人民共和国计量法》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8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企业登记注册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《中华人民共和国公司法》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《中华人民共和国合伙企业法》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《中华人民共和国个人独资企业法》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《中华人民共和国外商投资法》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《中华人民共和国外商投资法实施条例》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《中华人民共和国市场主体登记管理条例》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个体工商户登记注册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《个体工商户条例》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农民专业合作社登记注册</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《中华人民共和国农民专业合作社法》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《中华人民共和国市场主体登记管理条例》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区市场监管局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食品小作坊、小餐饮登记</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《山东省食品小作坊小餐饮和食品摊点管理条例》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举办健身气功活动及设立站点审批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《健身气功管理办法》（体育总局令2006年第9号）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《山东省人民政府关于公布省级保留的行政许可事项、非行政许可审批事项和取消、下放的行政审批事项的决定》（省政府令第230号）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高危险性体育项目经营许可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《全民健身条例》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《枣庄市人民政府关于承接省下放行政审批事项和2015年第一批取消下放市级行政审批事项的通知》（枣政字〔2015〕21号）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区教体局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临时占用公共体育设施审批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《中华人民共和国体育法》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区人防事务中心</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应建防空地下室的民用建筑项目报建审批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《中共中央 国务院 中央军委关于加强人民防空工作的决定》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区人防事务中心</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拆除人民防空工程审批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《中华人民共和国人民防空法》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219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区地方金融监管局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农民专业合作社开展信用互助业务审批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区地方金融监管局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《山东省地方金融条例》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在电力设施周围或者电力设施保护区内进行可能危及电力设施安全作业审批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《中华人民共和国电力法》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新建不能满足管道保护要求的石油天然气管道防护方案审批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《中华人民共和国石油天然气管道保护法》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81"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区发改局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可能影响石油天然气管道保护的施工作业审批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《中华人民共和国石油天然气管道保护法》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关闭、闲置、拆除城市环境卫生设施许可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区行政审批服务局会同区生态环境分局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《中华人民共和国固体废物污染环境防治法》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79"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拆除环境卫生设施许可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《城市市容和环境卫生管理条例》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从事城市生活垃圾经营性清扫、收集、运输、处理服务审批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城市建筑垃圾处置核准</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市政设施建设类审批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《城市道路管理条例》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特殊车辆在城市道路上行驶审批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《城市道路管理条例》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229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改变绿化规划、绿化用地的使用性质审批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工程建设涉及城市绿地、树木审批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《城市绿化条例》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设置大型户外广告及在城市建筑物、设施上悬挂、张贴宣传品审批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《城市市容和环境卫生管理条例》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区综合行政执法局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临时性建筑物搭建、堆放物料、占道施工审批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《城市市容和环境卫生管理条例》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林草种子生产经营许可证核发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《中华人民共和国种子法》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《山东省种子条例》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27"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林草植物检疫证书核发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《植物检疫条例》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1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建设项目使用林地及在森林和野生动物类型国家级自然保护区建设审批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《中华人民共和国森林法》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《中华人民共和国森林法实施条例》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《森林和野生动物类型自然保护区管理办法》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2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建设项目使用草原审批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《中华人民共和国草原法》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林木采伐许可证核发</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《中华人民共和国森林法》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《中华人民共和国森林法实施条例》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《枣庄市人民政府关于深化相对集中行政许可权改革规范市县级行政审批服务工作的通知》（枣政字〔2020〕12号）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从事营利性治沙活动许可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《中华人民共和国防沙治沙法》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239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在风景名胜区内从事建设、设置广告、举办大型游乐活动以及其他影响生态和景观活动许可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lang w:val="en-US" w:eastAsia="zh-CN"/>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进入自然保护区从事有关活动审批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《中华人民共和国自然保护区条例》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241</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猎捕陆生野生动物审批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《中华人民共和国野生动物保护法》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《中华人民共和国陆生野生动物保护实施条例》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242</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森林草原防火期内在森林草原防火区野外用火审批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区政府（由区行政审批服务局承办）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《森林防火条例》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《草原防火条例》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《山东省实施〈森林防火条例〉办法》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6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243</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森林草原防火期内在森林草原防火区爆破、勘察和施工等活动审批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《森林防火条例》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244</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进入森林高火险区、草原防火管制区审批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区行政审批服务局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《森林防火条例》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《草原防火条例》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《枣庄市人民政府关于公布市级取消、下放、调整和保留的行政许可事项的决定》（市政府令第137号）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《枣庄市人民政府关于取消下放和保留市级行政审批事项的决定》（市政府令第140号）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《市中区人民政府关于深化相对集中行政许可权改革规范行政审批服务工作的通知》（市中政字〔2020〕30号）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245</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23"/>
                <w:kern w:val="0"/>
                <w:sz w:val="24"/>
                <w:szCs w:val="24"/>
                <w:u w:val="none"/>
                <w:lang w:val="en-US" w:eastAsia="zh-CN" w:bidi="ar"/>
              </w:rPr>
              <w:t>工商企业等社会资本通过流转取得林地经营权审批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区政府（由区自然资源局承办）</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246</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人工繁育省重点保护陆生野生动物许可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247</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出售、购买、利用省重点保护陆生野生动物及其制品审批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248</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外国人对省重点保护陆生野生动物进行野外考察或者在野外拍摄电影、录像审批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区自然资源局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249</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spacing w:val="-11"/>
                <w:kern w:val="0"/>
                <w:sz w:val="24"/>
                <w:szCs w:val="24"/>
                <w:u w:val="none"/>
                <w:lang w:val="en-US" w:eastAsia="zh-CN" w:bidi="ar"/>
              </w:rPr>
              <w:t>国家税务总局枣庄市市中区税务局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增值税防伪税控系统最高开票限额审批</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国家税务总局枣庄市市中区税务局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89"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250</w:t>
            </w:r>
          </w:p>
        </w:tc>
        <w:tc>
          <w:tcPr>
            <w:tcW w:w="2023"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区烟草专卖局</w:t>
            </w:r>
          </w:p>
        </w:tc>
        <w:tc>
          <w:tcPr>
            <w:tcW w:w="2544"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烟草专卖零售许可</w:t>
            </w:r>
          </w:p>
        </w:tc>
        <w:tc>
          <w:tcPr>
            <w:tcW w:w="2679"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snapToGrid w:val="0"/>
                <w:color w:val="000000"/>
                <w:kern w:val="0"/>
                <w:sz w:val="24"/>
                <w:szCs w:val="24"/>
                <w:u w:val="none"/>
              </w:rPr>
            </w:pPr>
            <w:r>
              <w:rPr>
                <w:rFonts w:hint="default" w:ascii="Times New Roman" w:hAnsi="Times New Roman" w:eastAsia="仿宋_GB2312" w:cs="Times New Roman"/>
                <w:b w:val="0"/>
                <w:bCs w:val="0"/>
                <w:i w:val="0"/>
                <w:iCs w:val="0"/>
                <w:snapToGrid w:val="0"/>
                <w:color w:val="000000"/>
                <w:kern w:val="0"/>
                <w:sz w:val="24"/>
                <w:szCs w:val="24"/>
                <w:u w:val="none"/>
                <w:lang w:val="en-US" w:eastAsia="zh-CN" w:bidi="ar"/>
              </w:rPr>
              <w:t>区烟草专卖局</w:t>
            </w:r>
          </w:p>
        </w:tc>
        <w:tc>
          <w:tcPr>
            <w:tcW w:w="713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《中华人民共和国烟草专卖法》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default" w:ascii="Times New Roman" w:hAnsi="Times New Roman" w:eastAsia="仿宋_GB2312" w:cs="Times New Roman"/>
                <w:b w:val="0"/>
                <w:bCs w:val="0"/>
                <w:i w:val="0"/>
                <w:iCs w:val="0"/>
                <w:snapToGrid w:val="0"/>
                <w:color w:val="000000"/>
                <w:spacing w:val="-6"/>
                <w:kern w:val="0"/>
                <w:sz w:val="24"/>
                <w:szCs w:val="24"/>
                <w:u w:val="none"/>
              </w:rPr>
            </w:pPr>
            <w:r>
              <w:rPr>
                <w:rFonts w:hint="default" w:ascii="Times New Roman" w:hAnsi="Times New Roman" w:eastAsia="仿宋_GB2312" w:cs="Times New Roman"/>
                <w:b w:val="0"/>
                <w:bCs w:val="0"/>
                <w:i w:val="0"/>
                <w:iCs w:val="0"/>
                <w:snapToGrid w:val="0"/>
                <w:color w:val="000000"/>
                <w:spacing w:val="-6"/>
                <w:kern w:val="0"/>
                <w:sz w:val="24"/>
                <w:szCs w:val="24"/>
                <w:u w:val="none"/>
                <w:lang w:val="en-US" w:eastAsia="zh-CN" w:bidi="ar"/>
              </w:rPr>
              <w:t>《中华人民共和国烟草专卖法实施条例》</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ind w:right="0"/>
        <w:textAlignment w:val="baseline"/>
        <w:rPr>
          <w:rFonts w:hint="default" w:ascii="Times New Roman" w:hAnsi="Times New Roman" w:eastAsia="仿宋_GB2312" w:cs="Times New Roman"/>
          <w:b w:val="0"/>
          <w:bCs w:val="0"/>
          <w:spacing w:val="6"/>
          <w:sz w:val="32"/>
          <w:szCs w:val="32"/>
          <w:lang w:val="en-US" w:eastAsia="zh-CN"/>
        </w:rPr>
      </w:pPr>
      <w:bookmarkStart w:id="0" w:name="_GoBack"/>
      <w:bookmarkEnd w:id="0"/>
    </w:p>
    <w:sectPr>
      <w:footerReference r:id="rId4" w:type="default"/>
      <w:pgSz w:w="16838" w:h="11906" w:orient="landscape"/>
      <w:pgMar w:top="1644" w:right="1644" w:bottom="1644" w:left="1644"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20200D76"/>
    <w:rsid w:val="000362F3"/>
    <w:rsid w:val="00610597"/>
    <w:rsid w:val="00615EA1"/>
    <w:rsid w:val="00BD2BB6"/>
    <w:rsid w:val="01694458"/>
    <w:rsid w:val="08B4516D"/>
    <w:rsid w:val="0B187E45"/>
    <w:rsid w:val="0B89469A"/>
    <w:rsid w:val="0BAA54A0"/>
    <w:rsid w:val="0BB974D9"/>
    <w:rsid w:val="0BD96FB2"/>
    <w:rsid w:val="0D795E37"/>
    <w:rsid w:val="0E5D0671"/>
    <w:rsid w:val="10797DC1"/>
    <w:rsid w:val="11144394"/>
    <w:rsid w:val="11AC0257"/>
    <w:rsid w:val="132F1E2E"/>
    <w:rsid w:val="15FB4D0A"/>
    <w:rsid w:val="1629525B"/>
    <w:rsid w:val="19061883"/>
    <w:rsid w:val="1B80180D"/>
    <w:rsid w:val="1D7F7461"/>
    <w:rsid w:val="1E59705E"/>
    <w:rsid w:val="1E662E04"/>
    <w:rsid w:val="200449C5"/>
    <w:rsid w:val="20200D76"/>
    <w:rsid w:val="21A974B5"/>
    <w:rsid w:val="22BD76EB"/>
    <w:rsid w:val="251234D0"/>
    <w:rsid w:val="254550D3"/>
    <w:rsid w:val="25893ED7"/>
    <w:rsid w:val="2862430A"/>
    <w:rsid w:val="29B80978"/>
    <w:rsid w:val="2BD92032"/>
    <w:rsid w:val="2BDB094E"/>
    <w:rsid w:val="2BFA63EA"/>
    <w:rsid w:val="2C5524AE"/>
    <w:rsid w:val="30864F1D"/>
    <w:rsid w:val="31651949"/>
    <w:rsid w:val="31B8548B"/>
    <w:rsid w:val="3245613D"/>
    <w:rsid w:val="33FC1112"/>
    <w:rsid w:val="34031220"/>
    <w:rsid w:val="35B45BD4"/>
    <w:rsid w:val="35CA6B26"/>
    <w:rsid w:val="36885D86"/>
    <w:rsid w:val="376E2976"/>
    <w:rsid w:val="3980251B"/>
    <w:rsid w:val="3B0A1822"/>
    <w:rsid w:val="3D756C20"/>
    <w:rsid w:val="3E5C15AF"/>
    <w:rsid w:val="3F055FB6"/>
    <w:rsid w:val="3FD6148D"/>
    <w:rsid w:val="406B1E48"/>
    <w:rsid w:val="42CF2B62"/>
    <w:rsid w:val="43E90872"/>
    <w:rsid w:val="44AE6AC2"/>
    <w:rsid w:val="44B94FBE"/>
    <w:rsid w:val="44E70410"/>
    <w:rsid w:val="48580F04"/>
    <w:rsid w:val="4A1C2405"/>
    <w:rsid w:val="4A217246"/>
    <w:rsid w:val="4B977F95"/>
    <w:rsid w:val="4D1C705C"/>
    <w:rsid w:val="4D4F4D4B"/>
    <w:rsid w:val="4E630603"/>
    <w:rsid w:val="4FAD422B"/>
    <w:rsid w:val="51A451C4"/>
    <w:rsid w:val="527728CF"/>
    <w:rsid w:val="53EA25CA"/>
    <w:rsid w:val="576F2F2E"/>
    <w:rsid w:val="58B60374"/>
    <w:rsid w:val="5A3E01F0"/>
    <w:rsid w:val="5AC37F68"/>
    <w:rsid w:val="5B377764"/>
    <w:rsid w:val="5E0B1DC2"/>
    <w:rsid w:val="5E207BCE"/>
    <w:rsid w:val="5F8E5506"/>
    <w:rsid w:val="5FAF21C4"/>
    <w:rsid w:val="60031A06"/>
    <w:rsid w:val="60234096"/>
    <w:rsid w:val="61416B86"/>
    <w:rsid w:val="61810B03"/>
    <w:rsid w:val="61E01249"/>
    <w:rsid w:val="66143A60"/>
    <w:rsid w:val="67EB7247"/>
    <w:rsid w:val="688020CA"/>
    <w:rsid w:val="6D2E62D3"/>
    <w:rsid w:val="6EC63D94"/>
    <w:rsid w:val="70B43373"/>
    <w:rsid w:val="71380FE3"/>
    <w:rsid w:val="716B764B"/>
    <w:rsid w:val="7208160F"/>
    <w:rsid w:val="72A526E9"/>
    <w:rsid w:val="74DA3680"/>
    <w:rsid w:val="77181A24"/>
    <w:rsid w:val="774145B5"/>
    <w:rsid w:val="77BA0F87"/>
    <w:rsid w:val="79CF517F"/>
    <w:rsid w:val="7A1A5C66"/>
    <w:rsid w:val="7AD24297"/>
    <w:rsid w:val="7AF40C35"/>
    <w:rsid w:val="7D8E651E"/>
    <w:rsid w:val="7FB1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autoSpaceDE w:val="0"/>
      <w:autoSpaceDN w:val="0"/>
      <w:ind w:left="104"/>
      <w:jc w:val="left"/>
    </w:pPr>
    <w:rPr>
      <w:rFonts w:ascii="Microsoft JhengHei" w:hAnsi="Microsoft JhengHei" w:eastAsia="Microsoft JhengHei" w:cs="Microsoft JhengHei"/>
      <w:b/>
      <w:bC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38299</Words>
  <Characters>40570</Characters>
  <Lines>0</Lines>
  <Paragraphs>0</Paragraphs>
  <TotalTime>1229</TotalTime>
  <ScaleCrop>false</ScaleCrop>
  <LinksUpToDate>false</LinksUpToDate>
  <CharactersWithSpaces>40603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2022-08-16T07:44:00Z</dcterms:created>
  <dc:creator>lenovo</dc:creator>
  <cp:lastModifiedBy>lirong</cp:lastModifiedBy>
  <cp:lastPrinted>2022-09-14T02:47:00Z</cp:lastPrinted>
  <dcterms:modified xsi:type="dcterms:W3CDTF">2022-10-18T08:41:21Z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8FF864DAD5D84BED89AA18D7F41DDA6D</vt:lpwstr>
  </property>
</Properties>
</file>